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BA5" w:rsidRPr="001F342A" w:rsidRDefault="00F34BA5" w:rsidP="00F34BA5">
      <w:pPr>
        <w:widowControl w:val="0"/>
        <w:autoSpaceDE w:val="0"/>
        <w:autoSpaceDN w:val="0"/>
        <w:adjustRightInd w:val="0"/>
        <w:jc w:val="both"/>
        <w:rPr>
          <w:sz w:val="28"/>
        </w:rPr>
      </w:pPr>
      <w:r w:rsidRPr="001F342A">
        <w:rPr>
          <w:sz w:val="28"/>
        </w:rPr>
        <w:t>Практическое занятие №4</w:t>
      </w:r>
    </w:p>
    <w:p w:rsidR="00902D9B" w:rsidRDefault="00F34BA5" w:rsidP="00F34BA5">
      <w:pPr>
        <w:rPr>
          <w:sz w:val="28"/>
        </w:rPr>
      </w:pPr>
      <w:r w:rsidRPr="001F342A">
        <w:rPr>
          <w:sz w:val="28"/>
        </w:rPr>
        <w:t xml:space="preserve">Баланс системы. Диапазоны частот GSM. Факторы бюджета мощности. Расчет баланса мощности  системы  (в направлении </w:t>
      </w:r>
      <w:proofErr w:type="spellStart"/>
      <w:r w:rsidRPr="001F342A">
        <w:rPr>
          <w:sz w:val="28"/>
        </w:rPr>
        <w:t>Uplink</w:t>
      </w:r>
      <w:proofErr w:type="spellEnd"/>
      <w:r w:rsidRPr="001F342A">
        <w:rPr>
          <w:sz w:val="28"/>
        </w:rPr>
        <w:t xml:space="preserve">, </w:t>
      </w:r>
      <w:proofErr w:type="spellStart"/>
      <w:r w:rsidRPr="001F342A">
        <w:rPr>
          <w:sz w:val="28"/>
        </w:rPr>
        <w:t>Downlink</w:t>
      </w:r>
      <w:proofErr w:type="spellEnd"/>
      <w:r w:rsidRPr="001F342A">
        <w:rPr>
          <w:sz w:val="28"/>
        </w:rPr>
        <w:t xml:space="preserve">). Пример решения задач по выше перечисленным вопросам (на примере стандарта GSM).  </w:t>
      </w:r>
    </w:p>
    <w:tbl>
      <w:tblPr>
        <w:tblW w:w="45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518"/>
        <w:gridCol w:w="2363"/>
        <w:gridCol w:w="1488"/>
      </w:tblGrid>
      <w:tr w:rsidR="00F34BA5" w:rsidTr="00F34BA5">
        <w:trPr>
          <w:jc w:val="center"/>
        </w:trPr>
        <w:tc>
          <w:tcPr>
            <w:tcW w:w="2296" w:type="dxa"/>
          </w:tcPr>
          <w:p w:rsidR="00F34BA5" w:rsidRDefault="00F34BA5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Спутниковые системы связи. Классификация, виды. Область применения.</w:t>
            </w:r>
          </w:p>
        </w:tc>
        <w:tc>
          <w:tcPr>
            <w:tcW w:w="2518" w:type="dxa"/>
          </w:tcPr>
          <w:p w:rsidR="00F34BA5" w:rsidRPr="00293C00" w:rsidRDefault="00F34BA5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Системы на базе ССС</w:t>
            </w:r>
          </w:p>
        </w:tc>
        <w:tc>
          <w:tcPr>
            <w:tcW w:w="2363" w:type="dxa"/>
          </w:tcPr>
          <w:p w:rsidR="00F34BA5" w:rsidRDefault="00F34BA5" w:rsidP="0059315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Изучить последние разработки в организации ССС ведущими мировыми фирмами</w:t>
            </w:r>
          </w:p>
        </w:tc>
        <w:tc>
          <w:tcPr>
            <w:tcW w:w="1488" w:type="dxa"/>
          </w:tcPr>
          <w:p w:rsidR="00F34BA5" w:rsidRDefault="00F34BA5" w:rsidP="00593158">
            <w:pPr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  <w:r>
              <w:rPr>
                <w:sz w:val="28"/>
                <w:szCs w:val="28"/>
              </w:rPr>
              <w:t>Опрос, объяснить принцип</w:t>
            </w:r>
          </w:p>
        </w:tc>
      </w:tr>
    </w:tbl>
    <w:p w:rsidR="00F34BA5" w:rsidRPr="00902D9B" w:rsidRDefault="00F34BA5" w:rsidP="00F34BA5"/>
    <w:p w:rsidR="00902D9B" w:rsidRPr="00902D9B" w:rsidRDefault="00902D9B" w:rsidP="00902D9B"/>
    <w:p w:rsidR="00C67369" w:rsidRPr="00902D9B" w:rsidRDefault="00C67369" w:rsidP="00902D9B"/>
    <w:sectPr w:rsidR="00C67369" w:rsidRPr="0090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369"/>
    <w:rsid w:val="005F25EB"/>
    <w:rsid w:val="00902D9B"/>
    <w:rsid w:val="00AF1B5F"/>
    <w:rsid w:val="00C67369"/>
    <w:rsid w:val="00F3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73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2020-09-10T16:51:00Z</dcterms:created>
  <dcterms:modified xsi:type="dcterms:W3CDTF">2020-09-10T16:51:00Z</dcterms:modified>
</cp:coreProperties>
</file>